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2">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4">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A">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tabs>
                <w:tab w:val="left"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Assisting re-competition for Deliverables </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Exit Plan</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3">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Buyer for an up-to-date copy of the Exit Plan; </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Deliverables (including all changes under the Variation Procedure); and  </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0">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Assets, Sub-contracts and Software</w:t>
      </w:r>
    </w:p>
    <w:p w:rsidR="00000000" w:rsidDel="00000000" w:rsidP="00000000" w:rsidRDefault="00000000" w:rsidRPr="00000000" w14:paraId="00000068">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as4poj" w:id="27"/>
      <w:bookmarkEnd w:id="27"/>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pxezwc" w:id="28"/>
      <w:bookmarkEnd w:id="28"/>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49x2ik5" w:id="29"/>
    <w:bookmarkEnd w:id="29"/>
    <w:p w:rsidR="00000000" w:rsidDel="00000000" w:rsidP="00000000" w:rsidRDefault="00000000" w:rsidRPr="00000000" w14:paraId="0000006D">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709"/>
          <w:tab w:val="left"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41mghml" w:id="37"/>
      <w:bookmarkEnd w:id="37"/>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Bold" w:cs="Arial Bold" w:eastAsia="Arial Bold" w:hAnsi="Arial Bold"/>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1">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RM6257</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w:t>
    </w:r>
    <w:bookmarkStart w:colFirst="0" w:colLast="0" w:name="bookmark=id.vx1227" w:id="39"/>
    <w:bookmarkEnd w:id="39"/>
    <w:r w:rsidDel="00000000" w:rsidR="00000000" w:rsidRPr="00000000">
      <w:rPr>
        <w:rFonts w:ascii="Arial" w:cs="Arial" w:eastAsia="Arial" w:hAnsi="Arial"/>
        <w:color w:val="000000"/>
        <w:sz w:val="20"/>
        <w:szCs w:val="20"/>
        <w:rtl w:val="0"/>
      </w:rPr>
      <w:t xml:space="preserve">v</w:t>
    </w:r>
    <w:r w:rsidDel="00000000" w:rsidR="00000000" w:rsidRPr="00000000">
      <w:rPr>
        <w:rFonts w:ascii="Arial" w:cs="Arial" w:eastAsia="Arial" w:hAnsi="Arial"/>
        <w:sz w:val="20"/>
        <w:szCs w:val="20"/>
        <w:rtl w:val="0"/>
      </w:rPr>
      <w:t xml:space="preserve">3</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pos="4513"/>
        <w:tab w:val="right" w:pos="9026"/>
        <w:tab w:val="left"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zyb1lFet9MKNcMfhLEeSXeFLA==">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